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A70" w:rsidRDefault="00F21A70" w:rsidP="00F21A70">
      <w:pPr>
        <w:autoSpaceDE w:val="0"/>
        <w:autoSpaceDN w:val="0"/>
        <w:adjustRightInd w:val="0"/>
        <w:spacing w:after="0" w:line="240" w:lineRule="auto"/>
        <w:rPr>
          <w:rFonts w:ascii="Calibri-Identity-H" w:hAnsi="Calibri-Identity-H" w:cs="Calibri-Identity-H"/>
          <w:color w:val="1A1A1A"/>
        </w:rPr>
      </w:pPr>
    </w:p>
    <w:p w:rsidR="00F21A70" w:rsidRDefault="00F21A70" w:rsidP="00F21A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A1A1A"/>
          <w:sz w:val="22"/>
          <w:szCs w:val="22"/>
        </w:rPr>
      </w:pPr>
      <w:r w:rsidRPr="00F21A70">
        <w:rPr>
          <w:rFonts w:ascii="Arial" w:hAnsi="Arial" w:cs="Arial"/>
          <w:color w:val="1A1A1A"/>
          <w:sz w:val="22"/>
          <w:szCs w:val="22"/>
        </w:rPr>
        <w:t>Cuando se carece de báscula, se pueden utilizar como referencia los datos que aparecen en el</w:t>
      </w:r>
      <w:r>
        <w:rPr>
          <w:rFonts w:ascii="Arial" w:hAnsi="Arial" w:cs="Arial"/>
          <w:color w:val="1A1A1A"/>
          <w:sz w:val="22"/>
          <w:szCs w:val="22"/>
        </w:rPr>
        <w:t xml:space="preserve"> </w:t>
      </w:r>
      <w:r w:rsidRPr="00F21A70">
        <w:rPr>
          <w:rFonts w:ascii="Arial" w:hAnsi="Arial" w:cs="Arial"/>
          <w:color w:val="1A1A1A"/>
          <w:sz w:val="22"/>
          <w:szCs w:val="22"/>
        </w:rPr>
        <w:t>cuadro siguiente, para estimar la cantidad en kilogramos o el volumen de las distintas fracciones</w:t>
      </w:r>
      <w:r>
        <w:rPr>
          <w:rFonts w:ascii="Arial" w:hAnsi="Arial" w:cs="Arial"/>
          <w:color w:val="1A1A1A"/>
          <w:sz w:val="22"/>
          <w:szCs w:val="22"/>
        </w:rPr>
        <w:t xml:space="preserve"> </w:t>
      </w:r>
      <w:r w:rsidRPr="00F21A70">
        <w:rPr>
          <w:rFonts w:ascii="Arial" w:hAnsi="Arial" w:cs="Arial"/>
          <w:color w:val="1A1A1A"/>
          <w:sz w:val="22"/>
          <w:szCs w:val="22"/>
        </w:rPr>
        <w:t>que separen y cuantifiquen en las áreas del plantel seleccionadas y/o las que se acopien en el sitio</w:t>
      </w:r>
      <w:r>
        <w:rPr>
          <w:rFonts w:ascii="Arial" w:hAnsi="Arial" w:cs="Arial"/>
          <w:color w:val="1A1A1A"/>
          <w:sz w:val="22"/>
          <w:szCs w:val="22"/>
        </w:rPr>
        <w:t xml:space="preserve"> </w:t>
      </w:r>
      <w:r w:rsidRPr="00F21A70">
        <w:rPr>
          <w:rFonts w:ascii="Arial" w:hAnsi="Arial" w:cs="Arial"/>
          <w:color w:val="1A1A1A"/>
          <w:sz w:val="22"/>
          <w:szCs w:val="22"/>
        </w:rPr>
        <w:t>de almacenamiento temporal.</w:t>
      </w:r>
    </w:p>
    <w:p w:rsidR="00F21A70" w:rsidRDefault="00F21A70" w:rsidP="00F21A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A1A"/>
          <w:sz w:val="22"/>
          <w:szCs w:val="22"/>
        </w:rPr>
      </w:pPr>
    </w:p>
    <w:p w:rsidR="00F21A70" w:rsidRPr="00F21A70" w:rsidRDefault="00F21A70" w:rsidP="00F21A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A1A"/>
          <w:sz w:val="22"/>
          <w:szCs w:val="22"/>
        </w:rPr>
      </w:pPr>
    </w:p>
    <w:p w:rsidR="00F21A70" w:rsidRDefault="00F21A70" w:rsidP="00F21A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F21A70">
        <w:rPr>
          <w:rFonts w:ascii="Arial" w:hAnsi="Arial" w:cs="Arial"/>
          <w:b/>
          <w:bCs/>
          <w:color w:val="000000"/>
          <w:sz w:val="22"/>
          <w:szCs w:val="22"/>
        </w:rPr>
        <w:t>Datos de referencia para determinar el peso de los distintos tipos de residuos sólidos generados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F21A70">
        <w:rPr>
          <w:rFonts w:ascii="Arial" w:hAnsi="Arial" w:cs="Arial"/>
          <w:b/>
          <w:bCs/>
          <w:color w:val="000000"/>
          <w:sz w:val="22"/>
          <w:szCs w:val="22"/>
        </w:rPr>
        <w:t>cuando se carece de báscula</w:t>
      </w:r>
    </w:p>
    <w:p w:rsidR="00F21A70" w:rsidRDefault="00F21A70" w:rsidP="00F21A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322"/>
        <w:gridCol w:w="4322"/>
      </w:tblGrid>
      <w:tr w:rsidR="00F21A70" w:rsidTr="00EC2E03">
        <w:trPr>
          <w:trHeight w:val="143"/>
          <w:jc w:val="center"/>
        </w:trPr>
        <w:tc>
          <w:tcPr>
            <w:tcW w:w="4322" w:type="dxa"/>
            <w:vMerge w:val="restart"/>
            <w:shd w:val="clear" w:color="auto" w:fill="D9D9D9" w:themeFill="background1" w:themeFillShade="D9"/>
          </w:tcPr>
          <w:p w:rsidR="00F21A70" w:rsidRDefault="00F21A70" w:rsidP="00F21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Tipos de Residuo</w:t>
            </w:r>
          </w:p>
        </w:tc>
        <w:tc>
          <w:tcPr>
            <w:tcW w:w="4322" w:type="dxa"/>
            <w:shd w:val="clear" w:color="auto" w:fill="D9D9D9" w:themeFill="background1" w:themeFillShade="D9"/>
          </w:tcPr>
          <w:p w:rsidR="00F21A70" w:rsidRDefault="00F21A70" w:rsidP="00F21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Peso </w:t>
            </w:r>
            <w:r w:rsidR="0014470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específico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(Kg/m3)</w:t>
            </w:r>
          </w:p>
        </w:tc>
      </w:tr>
      <w:tr w:rsidR="00F21A70" w:rsidTr="00EC2E03">
        <w:trPr>
          <w:trHeight w:val="142"/>
          <w:jc w:val="center"/>
        </w:trPr>
        <w:tc>
          <w:tcPr>
            <w:tcW w:w="4322" w:type="dxa"/>
            <w:vMerge/>
            <w:shd w:val="clear" w:color="auto" w:fill="D9D9D9" w:themeFill="background1" w:themeFillShade="D9"/>
          </w:tcPr>
          <w:p w:rsidR="00F21A70" w:rsidRDefault="00F21A70" w:rsidP="00F21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22" w:type="dxa"/>
            <w:shd w:val="clear" w:color="auto" w:fill="D9D9D9" w:themeFill="background1" w:themeFillShade="D9"/>
          </w:tcPr>
          <w:p w:rsidR="00F21A70" w:rsidRDefault="00F21A70" w:rsidP="00F21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Promedio</w:t>
            </w:r>
          </w:p>
        </w:tc>
      </w:tr>
      <w:tr w:rsidR="00F21A70" w:rsidTr="00EC2E03">
        <w:trPr>
          <w:jc w:val="center"/>
        </w:trPr>
        <w:tc>
          <w:tcPr>
            <w:tcW w:w="8644" w:type="dxa"/>
            <w:gridSpan w:val="2"/>
          </w:tcPr>
          <w:p w:rsidR="00F21A70" w:rsidRPr="00710AE3" w:rsidRDefault="00F21A70" w:rsidP="00F21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710AE3">
              <w:rPr>
                <w:rFonts w:ascii="Arial" w:hAnsi="Arial" w:cs="Arial"/>
                <w:b/>
                <w:color w:val="000000"/>
                <w:sz w:val="26"/>
                <w:szCs w:val="26"/>
              </w:rPr>
              <w:t>Residuos orgánicos húmedos</w:t>
            </w:r>
          </w:p>
        </w:tc>
      </w:tr>
      <w:tr w:rsidR="00F21A70" w:rsidTr="00EC2E03">
        <w:trPr>
          <w:jc w:val="center"/>
        </w:trPr>
        <w:tc>
          <w:tcPr>
            <w:tcW w:w="4322" w:type="dxa"/>
          </w:tcPr>
          <w:p w:rsidR="00F21A70" w:rsidRPr="00F21A70" w:rsidRDefault="00F21A70" w:rsidP="008563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</w:rPr>
            </w:pPr>
            <w:r w:rsidRPr="00F21A70">
              <w:rPr>
                <w:rFonts w:ascii="Arial" w:hAnsi="Arial" w:cs="Arial"/>
                <w:color w:val="000000"/>
                <w:sz w:val="28"/>
                <w:szCs w:val="22"/>
              </w:rPr>
              <w:t xml:space="preserve">Residuos de comida húmedos </w:t>
            </w:r>
          </w:p>
        </w:tc>
        <w:tc>
          <w:tcPr>
            <w:tcW w:w="4322" w:type="dxa"/>
          </w:tcPr>
          <w:p w:rsidR="00F21A70" w:rsidRPr="00F21A70" w:rsidRDefault="00F21A70" w:rsidP="00F21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8"/>
                <w:szCs w:val="22"/>
              </w:rPr>
            </w:pPr>
            <w:r w:rsidRPr="00F21A70">
              <w:rPr>
                <w:rFonts w:ascii="Arial" w:hAnsi="Arial" w:cs="Arial"/>
                <w:bCs/>
                <w:color w:val="000000"/>
                <w:sz w:val="28"/>
                <w:szCs w:val="22"/>
              </w:rPr>
              <w:t>540</w:t>
            </w:r>
          </w:p>
        </w:tc>
      </w:tr>
      <w:tr w:rsidR="00F21A70" w:rsidTr="00EC2E03">
        <w:trPr>
          <w:jc w:val="center"/>
        </w:trPr>
        <w:tc>
          <w:tcPr>
            <w:tcW w:w="4322" w:type="dxa"/>
          </w:tcPr>
          <w:p w:rsidR="00F21A70" w:rsidRPr="00F21A70" w:rsidRDefault="00F21A70" w:rsidP="008563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</w:rPr>
            </w:pPr>
            <w:r w:rsidRPr="00F21A70">
              <w:rPr>
                <w:rFonts w:ascii="Arial" w:hAnsi="Arial" w:cs="Arial"/>
                <w:color w:val="000000"/>
                <w:sz w:val="28"/>
                <w:szCs w:val="22"/>
              </w:rPr>
              <w:t xml:space="preserve">Residuos de jardín </w:t>
            </w:r>
          </w:p>
        </w:tc>
        <w:tc>
          <w:tcPr>
            <w:tcW w:w="4322" w:type="dxa"/>
          </w:tcPr>
          <w:p w:rsidR="00F21A70" w:rsidRPr="00F21A70" w:rsidRDefault="00F21A70" w:rsidP="00F21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8"/>
                <w:szCs w:val="22"/>
              </w:rPr>
            </w:pPr>
            <w:r w:rsidRPr="00F21A70">
              <w:rPr>
                <w:rFonts w:ascii="Arial" w:hAnsi="Arial" w:cs="Arial"/>
                <w:bCs/>
                <w:color w:val="000000"/>
                <w:sz w:val="28"/>
                <w:szCs w:val="22"/>
              </w:rPr>
              <w:t>101</w:t>
            </w:r>
          </w:p>
        </w:tc>
      </w:tr>
      <w:tr w:rsidR="00F21A70" w:rsidTr="00EC2E03">
        <w:trPr>
          <w:jc w:val="center"/>
        </w:trPr>
        <w:tc>
          <w:tcPr>
            <w:tcW w:w="8644" w:type="dxa"/>
            <w:gridSpan w:val="2"/>
          </w:tcPr>
          <w:p w:rsidR="00F21A70" w:rsidRPr="00710AE3" w:rsidRDefault="00F21A70" w:rsidP="00F21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710AE3">
              <w:rPr>
                <w:rFonts w:ascii="Arial" w:hAnsi="Arial" w:cs="Arial"/>
                <w:b/>
                <w:color w:val="000000"/>
                <w:sz w:val="26"/>
                <w:szCs w:val="26"/>
              </w:rPr>
              <w:t>Residuos orgánicos secos</w:t>
            </w:r>
          </w:p>
        </w:tc>
      </w:tr>
      <w:tr w:rsidR="00F21A70" w:rsidTr="00EC2E03">
        <w:trPr>
          <w:jc w:val="center"/>
        </w:trPr>
        <w:tc>
          <w:tcPr>
            <w:tcW w:w="4322" w:type="dxa"/>
          </w:tcPr>
          <w:p w:rsidR="00F21A70" w:rsidRPr="00F21A70" w:rsidRDefault="00F21A70" w:rsidP="008563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</w:rPr>
            </w:pPr>
            <w:r w:rsidRPr="00F21A70">
              <w:rPr>
                <w:rFonts w:ascii="Arial" w:hAnsi="Arial" w:cs="Arial"/>
                <w:color w:val="000000"/>
                <w:sz w:val="28"/>
                <w:szCs w:val="22"/>
              </w:rPr>
              <w:t xml:space="preserve">Papel </w:t>
            </w:r>
          </w:p>
        </w:tc>
        <w:tc>
          <w:tcPr>
            <w:tcW w:w="4322" w:type="dxa"/>
          </w:tcPr>
          <w:p w:rsidR="00F21A70" w:rsidRPr="00F21A70" w:rsidRDefault="00F21A70" w:rsidP="00F21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8"/>
                <w:szCs w:val="22"/>
              </w:rPr>
            </w:pPr>
            <w:r w:rsidRPr="00F21A70">
              <w:rPr>
                <w:rFonts w:ascii="Arial" w:hAnsi="Arial" w:cs="Arial"/>
                <w:bCs/>
                <w:color w:val="000000"/>
                <w:sz w:val="28"/>
                <w:szCs w:val="22"/>
              </w:rPr>
              <w:t>89</w:t>
            </w:r>
          </w:p>
        </w:tc>
      </w:tr>
      <w:tr w:rsidR="00F21A70" w:rsidTr="00EC2E03">
        <w:trPr>
          <w:jc w:val="center"/>
        </w:trPr>
        <w:tc>
          <w:tcPr>
            <w:tcW w:w="4322" w:type="dxa"/>
          </w:tcPr>
          <w:p w:rsidR="00F21A70" w:rsidRPr="00F21A70" w:rsidRDefault="00F21A70" w:rsidP="008563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</w:rPr>
            </w:pPr>
            <w:r w:rsidRPr="00F21A70">
              <w:rPr>
                <w:rFonts w:ascii="Arial" w:hAnsi="Arial" w:cs="Arial"/>
                <w:color w:val="000000"/>
                <w:sz w:val="28"/>
                <w:szCs w:val="22"/>
              </w:rPr>
              <w:t xml:space="preserve">Cartón </w:t>
            </w:r>
          </w:p>
        </w:tc>
        <w:tc>
          <w:tcPr>
            <w:tcW w:w="4322" w:type="dxa"/>
          </w:tcPr>
          <w:p w:rsidR="00F21A70" w:rsidRPr="00F21A70" w:rsidRDefault="00F21A70" w:rsidP="00F21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8"/>
                <w:szCs w:val="22"/>
              </w:rPr>
            </w:pPr>
            <w:r w:rsidRPr="00F21A70">
              <w:rPr>
                <w:rFonts w:ascii="Arial" w:hAnsi="Arial" w:cs="Arial"/>
                <w:bCs/>
                <w:color w:val="000000"/>
                <w:sz w:val="28"/>
                <w:szCs w:val="22"/>
              </w:rPr>
              <w:t>50</w:t>
            </w:r>
          </w:p>
        </w:tc>
      </w:tr>
      <w:tr w:rsidR="00F21A70" w:rsidTr="00EC2E03">
        <w:trPr>
          <w:jc w:val="center"/>
        </w:trPr>
        <w:tc>
          <w:tcPr>
            <w:tcW w:w="4322" w:type="dxa"/>
          </w:tcPr>
          <w:p w:rsidR="00F21A70" w:rsidRPr="00F21A70" w:rsidRDefault="00F21A70" w:rsidP="008563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</w:rPr>
            </w:pPr>
            <w:r w:rsidRPr="00F21A70">
              <w:rPr>
                <w:rFonts w:ascii="Arial" w:hAnsi="Arial" w:cs="Arial"/>
                <w:color w:val="000000"/>
                <w:sz w:val="28"/>
                <w:szCs w:val="22"/>
              </w:rPr>
              <w:t xml:space="preserve">Plásticos </w:t>
            </w:r>
          </w:p>
        </w:tc>
        <w:tc>
          <w:tcPr>
            <w:tcW w:w="4322" w:type="dxa"/>
          </w:tcPr>
          <w:p w:rsidR="00F21A70" w:rsidRPr="00F21A70" w:rsidRDefault="00F21A70" w:rsidP="00F21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8"/>
                <w:szCs w:val="22"/>
              </w:rPr>
            </w:pPr>
            <w:r w:rsidRPr="00F21A70">
              <w:rPr>
                <w:rFonts w:ascii="Arial" w:hAnsi="Arial" w:cs="Arial"/>
                <w:bCs/>
                <w:color w:val="000000"/>
                <w:sz w:val="28"/>
                <w:szCs w:val="22"/>
              </w:rPr>
              <w:t>65</w:t>
            </w:r>
          </w:p>
        </w:tc>
      </w:tr>
      <w:tr w:rsidR="00F21A70" w:rsidTr="00EC2E03">
        <w:trPr>
          <w:jc w:val="center"/>
        </w:trPr>
        <w:tc>
          <w:tcPr>
            <w:tcW w:w="4322" w:type="dxa"/>
          </w:tcPr>
          <w:p w:rsidR="00F21A70" w:rsidRPr="00F21A70" w:rsidRDefault="00F21A70" w:rsidP="008563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</w:rPr>
            </w:pPr>
            <w:r w:rsidRPr="00F21A70">
              <w:rPr>
                <w:rFonts w:ascii="Arial" w:hAnsi="Arial" w:cs="Arial"/>
                <w:color w:val="000000"/>
                <w:sz w:val="28"/>
                <w:szCs w:val="22"/>
              </w:rPr>
              <w:t xml:space="preserve">Textiles </w:t>
            </w:r>
          </w:p>
        </w:tc>
        <w:tc>
          <w:tcPr>
            <w:tcW w:w="4322" w:type="dxa"/>
          </w:tcPr>
          <w:p w:rsidR="00F21A70" w:rsidRPr="00F21A70" w:rsidRDefault="00F21A70" w:rsidP="00F21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8"/>
                <w:szCs w:val="22"/>
              </w:rPr>
            </w:pPr>
            <w:r w:rsidRPr="00F21A70">
              <w:rPr>
                <w:rFonts w:ascii="Arial" w:hAnsi="Arial" w:cs="Arial"/>
                <w:bCs/>
                <w:color w:val="000000"/>
                <w:sz w:val="28"/>
                <w:szCs w:val="22"/>
              </w:rPr>
              <w:t>65</w:t>
            </w:r>
          </w:p>
        </w:tc>
      </w:tr>
      <w:tr w:rsidR="00F21A70" w:rsidTr="00EC2E03">
        <w:trPr>
          <w:jc w:val="center"/>
        </w:trPr>
        <w:tc>
          <w:tcPr>
            <w:tcW w:w="4322" w:type="dxa"/>
          </w:tcPr>
          <w:p w:rsidR="00F21A70" w:rsidRPr="00F21A70" w:rsidRDefault="00F21A70" w:rsidP="008563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</w:rPr>
            </w:pPr>
            <w:r w:rsidRPr="00F21A70">
              <w:rPr>
                <w:rFonts w:ascii="Arial" w:hAnsi="Arial" w:cs="Arial"/>
                <w:color w:val="000000"/>
                <w:sz w:val="28"/>
                <w:szCs w:val="22"/>
              </w:rPr>
              <w:t xml:space="preserve">Madera </w:t>
            </w:r>
          </w:p>
        </w:tc>
        <w:tc>
          <w:tcPr>
            <w:tcW w:w="4322" w:type="dxa"/>
          </w:tcPr>
          <w:p w:rsidR="00F21A70" w:rsidRPr="00F21A70" w:rsidRDefault="00F21A70" w:rsidP="00F21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8"/>
                <w:szCs w:val="22"/>
              </w:rPr>
            </w:pPr>
            <w:r w:rsidRPr="00F21A70">
              <w:rPr>
                <w:rFonts w:ascii="Arial" w:hAnsi="Arial" w:cs="Arial"/>
                <w:bCs/>
                <w:color w:val="000000"/>
                <w:sz w:val="28"/>
                <w:szCs w:val="22"/>
              </w:rPr>
              <w:t>237</w:t>
            </w:r>
          </w:p>
        </w:tc>
      </w:tr>
      <w:tr w:rsidR="00F21A70" w:rsidTr="00EC2E03">
        <w:trPr>
          <w:jc w:val="center"/>
        </w:trPr>
        <w:tc>
          <w:tcPr>
            <w:tcW w:w="8644" w:type="dxa"/>
            <w:gridSpan w:val="2"/>
          </w:tcPr>
          <w:p w:rsidR="00F21A70" w:rsidRPr="00710AE3" w:rsidRDefault="00F21A70" w:rsidP="00F21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710AE3">
              <w:rPr>
                <w:rFonts w:ascii="Arial" w:hAnsi="Arial" w:cs="Arial"/>
                <w:b/>
                <w:color w:val="000000"/>
                <w:sz w:val="26"/>
                <w:szCs w:val="26"/>
              </w:rPr>
              <w:t>Residuos inorgánicos</w:t>
            </w:r>
          </w:p>
        </w:tc>
      </w:tr>
      <w:tr w:rsidR="00F21A70" w:rsidTr="00EC2E03">
        <w:trPr>
          <w:jc w:val="center"/>
        </w:trPr>
        <w:tc>
          <w:tcPr>
            <w:tcW w:w="4322" w:type="dxa"/>
          </w:tcPr>
          <w:p w:rsidR="00F21A70" w:rsidRPr="00F21A70" w:rsidRDefault="00F21A70" w:rsidP="008563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</w:rPr>
            </w:pPr>
            <w:r w:rsidRPr="00F21A70">
              <w:rPr>
                <w:rFonts w:ascii="Arial" w:hAnsi="Arial" w:cs="Arial"/>
                <w:color w:val="000000"/>
                <w:sz w:val="28"/>
                <w:szCs w:val="22"/>
              </w:rPr>
              <w:t xml:space="preserve">Vidrio </w:t>
            </w:r>
          </w:p>
        </w:tc>
        <w:tc>
          <w:tcPr>
            <w:tcW w:w="4322" w:type="dxa"/>
          </w:tcPr>
          <w:p w:rsidR="00F21A70" w:rsidRPr="00F21A70" w:rsidRDefault="00F21A70" w:rsidP="00F21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8"/>
                <w:szCs w:val="22"/>
              </w:rPr>
            </w:pPr>
          </w:p>
        </w:tc>
      </w:tr>
      <w:tr w:rsidR="00F21A70" w:rsidTr="00EC2E03">
        <w:trPr>
          <w:jc w:val="center"/>
        </w:trPr>
        <w:tc>
          <w:tcPr>
            <w:tcW w:w="4322" w:type="dxa"/>
          </w:tcPr>
          <w:p w:rsidR="00F21A70" w:rsidRPr="00F21A70" w:rsidRDefault="00F21A70" w:rsidP="008563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</w:rPr>
            </w:pPr>
            <w:r w:rsidRPr="00F21A70">
              <w:rPr>
                <w:rFonts w:ascii="Arial" w:hAnsi="Arial" w:cs="Arial"/>
                <w:color w:val="000000"/>
                <w:sz w:val="28"/>
                <w:szCs w:val="22"/>
              </w:rPr>
              <w:t xml:space="preserve">Construcción y demolición mezclados </w:t>
            </w:r>
          </w:p>
        </w:tc>
        <w:tc>
          <w:tcPr>
            <w:tcW w:w="4322" w:type="dxa"/>
          </w:tcPr>
          <w:p w:rsidR="00F21A70" w:rsidRPr="00F21A70" w:rsidRDefault="00F21A70" w:rsidP="00F21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8"/>
                <w:szCs w:val="22"/>
              </w:rPr>
            </w:pPr>
            <w:r w:rsidRPr="00F21A70">
              <w:rPr>
                <w:rFonts w:ascii="Arial" w:hAnsi="Arial" w:cs="Arial"/>
                <w:bCs/>
                <w:color w:val="000000"/>
                <w:sz w:val="28"/>
                <w:szCs w:val="22"/>
              </w:rPr>
              <w:t>1,421</w:t>
            </w:r>
          </w:p>
        </w:tc>
      </w:tr>
      <w:tr w:rsidR="00F21A70" w:rsidTr="00EC2E03">
        <w:trPr>
          <w:jc w:val="center"/>
        </w:trPr>
        <w:tc>
          <w:tcPr>
            <w:tcW w:w="4322" w:type="dxa"/>
          </w:tcPr>
          <w:p w:rsidR="00F21A70" w:rsidRPr="00F21A70" w:rsidRDefault="00F21A70" w:rsidP="008563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</w:rPr>
            </w:pPr>
            <w:r w:rsidRPr="00F21A70">
              <w:rPr>
                <w:rFonts w:ascii="Arial" w:hAnsi="Arial" w:cs="Arial"/>
                <w:color w:val="000000"/>
                <w:sz w:val="28"/>
                <w:szCs w:val="22"/>
              </w:rPr>
              <w:t>Chatarra metálica (pesada)</w:t>
            </w:r>
          </w:p>
        </w:tc>
        <w:tc>
          <w:tcPr>
            <w:tcW w:w="4322" w:type="dxa"/>
          </w:tcPr>
          <w:p w:rsidR="00F21A70" w:rsidRPr="00F21A70" w:rsidRDefault="00F21A70" w:rsidP="00F21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8"/>
                <w:szCs w:val="22"/>
              </w:rPr>
            </w:pPr>
            <w:r w:rsidRPr="00F21A70">
              <w:rPr>
                <w:rFonts w:ascii="Arial" w:hAnsi="Arial" w:cs="Arial"/>
                <w:bCs/>
                <w:color w:val="000000"/>
                <w:sz w:val="28"/>
                <w:szCs w:val="22"/>
              </w:rPr>
              <w:t>1,780</w:t>
            </w:r>
          </w:p>
        </w:tc>
      </w:tr>
      <w:tr w:rsidR="00F21A70" w:rsidTr="00EC2E03">
        <w:trPr>
          <w:jc w:val="center"/>
        </w:trPr>
        <w:tc>
          <w:tcPr>
            <w:tcW w:w="4322" w:type="dxa"/>
          </w:tcPr>
          <w:p w:rsidR="00F21A70" w:rsidRPr="00F21A70" w:rsidRDefault="00F21A70" w:rsidP="008563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</w:rPr>
            </w:pPr>
            <w:r w:rsidRPr="00F21A70">
              <w:rPr>
                <w:rFonts w:ascii="Arial" w:hAnsi="Arial" w:cs="Arial"/>
                <w:color w:val="000000"/>
                <w:sz w:val="28"/>
                <w:szCs w:val="22"/>
              </w:rPr>
              <w:t xml:space="preserve">Chatarra metálica (ligera) </w:t>
            </w:r>
          </w:p>
        </w:tc>
        <w:tc>
          <w:tcPr>
            <w:tcW w:w="4322" w:type="dxa"/>
          </w:tcPr>
          <w:p w:rsidR="00F21A70" w:rsidRPr="00F21A70" w:rsidRDefault="00F21A70" w:rsidP="00F21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8"/>
                <w:szCs w:val="22"/>
              </w:rPr>
            </w:pPr>
            <w:r w:rsidRPr="00F21A70">
              <w:rPr>
                <w:rFonts w:ascii="Arial" w:hAnsi="Arial" w:cs="Arial"/>
                <w:bCs/>
                <w:color w:val="000000"/>
                <w:sz w:val="28"/>
                <w:szCs w:val="22"/>
              </w:rPr>
              <w:t>740</w:t>
            </w:r>
          </w:p>
        </w:tc>
      </w:tr>
      <w:tr w:rsidR="00F21A70" w:rsidTr="00EC2E03">
        <w:trPr>
          <w:jc w:val="center"/>
        </w:trPr>
        <w:tc>
          <w:tcPr>
            <w:tcW w:w="8644" w:type="dxa"/>
            <w:gridSpan w:val="2"/>
          </w:tcPr>
          <w:p w:rsidR="00F21A70" w:rsidRPr="00710AE3" w:rsidRDefault="00F21A70" w:rsidP="00F21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710AE3">
              <w:rPr>
                <w:rFonts w:ascii="Arial" w:hAnsi="Arial" w:cs="Arial"/>
                <w:b/>
                <w:color w:val="000000"/>
                <w:sz w:val="26"/>
                <w:szCs w:val="26"/>
              </w:rPr>
              <w:t>Otros residuos</w:t>
            </w:r>
          </w:p>
        </w:tc>
      </w:tr>
      <w:tr w:rsidR="00F21A70" w:rsidTr="00EC2E03">
        <w:trPr>
          <w:jc w:val="center"/>
        </w:trPr>
        <w:tc>
          <w:tcPr>
            <w:tcW w:w="4322" w:type="dxa"/>
          </w:tcPr>
          <w:p w:rsidR="00F21A70" w:rsidRPr="00F21A70" w:rsidRDefault="00F21A70" w:rsidP="008563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</w:rPr>
            </w:pPr>
            <w:r w:rsidRPr="00F21A70">
              <w:rPr>
                <w:rFonts w:ascii="Arial" w:hAnsi="Arial" w:cs="Arial"/>
                <w:color w:val="000000"/>
                <w:sz w:val="28"/>
                <w:szCs w:val="22"/>
              </w:rPr>
              <w:t xml:space="preserve">Basura mezclada </w:t>
            </w:r>
          </w:p>
        </w:tc>
        <w:tc>
          <w:tcPr>
            <w:tcW w:w="4322" w:type="dxa"/>
          </w:tcPr>
          <w:p w:rsidR="00F21A70" w:rsidRPr="00F21A70" w:rsidRDefault="00F21A70" w:rsidP="00F21A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8"/>
                <w:szCs w:val="22"/>
              </w:rPr>
            </w:pPr>
            <w:r w:rsidRPr="00F21A70">
              <w:rPr>
                <w:rFonts w:ascii="Arial" w:hAnsi="Arial" w:cs="Arial"/>
                <w:bCs/>
                <w:color w:val="000000"/>
                <w:sz w:val="28"/>
                <w:szCs w:val="22"/>
              </w:rPr>
              <w:t>160</w:t>
            </w:r>
          </w:p>
        </w:tc>
      </w:tr>
    </w:tbl>
    <w:p w:rsidR="00F21A70" w:rsidRPr="00F21A70" w:rsidRDefault="00F21A70" w:rsidP="00F21A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22"/>
        </w:rPr>
      </w:pPr>
      <w:r w:rsidRPr="00F21A70">
        <w:rPr>
          <w:rFonts w:ascii="Arial" w:hAnsi="Arial" w:cs="Arial"/>
          <w:i/>
          <w:iCs/>
          <w:color w:val="000000"/>
          <w:sz w:val="18"/>
          <w:szCs w:val="22"/>
        </w:rPr>
        <w:t xml:space="preserve">Modificado de: </w:t>
      </w:r>
      <w:proofErr w:type="spellStart"/>
      <w:r w:rsidRPr="00F21A70">
        <w:rPr>
          <w:rFonts w:ascii="Arial" w:hAnsi="Arial" w:cs="Arial"/>
          <w:i/>
          <w:iCs/>
          <w:color w:val="000000"/>
          <w:sz w:val="18"/>
          <w:szCs w:val="22"/>
        </w:rPr>
        <w:t>Tchobanoglous</w:t>
      </w:r>
      <w:proofErr w:type="spellEnd"/>
      <w:r w:rsidRPr="00F21A70">
        <w:rPr>
          <w:rFonts w:ascii="Arial" w:hAnsi="Arial" w:cs="Arial"/>
          <w:i/>
          <w:iCs/>
          <w:color w:val="000000"/>
          <w:sz w:val="18"/>
          <w:szCs w:val="22"/>
        </w:rPr>
        <w:t xml:space="preserve"> G, </w:t>
      </w:r>
      <w:proofErr w:type="spellStart"/>
      <w:r w:rsidRPr="00F21A70">
        <w:rPr>
          <w:rFonts w:ascii="Arial" w:hAnsi="Arial" w:cs="Arial"/>
          <w:i/>
          <w:iCs/>
          <w:color w:val="000000"/>
          <w:sz w:val="18"/>
          <w:szCs w:val="22"/>
        </w:rPr>
        <w:t>Theisen</w:t>
      </w:r>
      <w:proofErr w:type="spellEnd"/>
      <w:r w:rsidRPr="00F21A70">
        <w:rPr>
          <w:rFonts w:ascii="Arial" w:hAnsi="Arial" w:cs="Arial"/>
          <w:i/>
          <w:iCs/>
          <w:color w:val="000000"/>
          <w:sz w:val="18"/>
          <w:szCs w:val="22"/>
        </w:rPr>
        <w:t xml:space="preserve"> H; </w:t>
      </w:r>
      <w:proofErr w:type="spellStart"/>
      <w:r w:rsidRPr="00F21A70">
        <w:rPr>
          <w:rFonts w:ascii="Arial" w:hAnsi="Arial" w:cs="Arial"/>
          <w:i/>
          <w:iCs/>
          <w:color w:val="000000"/>
          <w:sz w:val="18"/>
          <w:szCs w:val="22"/>
        </w:rPr>
        <w:t>Vigil</w:t>
      </w:r>
      <w:proofErr w:type="spellEnd"/>
      <w:r w:rsidRPr="00F21A70">
        <w:rPr>
          <w:rFonts w:ascii="Arial" w:hAnsi="Arial" w:cs="Arial"/>
          <w:i/>
          <w:iCs/>
          <w:color w:val="000000"/>
          <w:sz w:val="18"/>
          <w:szCs w:val="22"/>
        </w:rPr>
        <w:t xml:space="preserve"> S.,</w:t>
      </w:r>
    </w:p>
    <w:p w:rsidR="00F21A70" w:rsidRPr="00F21A70" w:rsidRDefault="00F21A70" w:rsidP="00F21A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22"/>
        </w:rPr>
      </w:pPr>
      <w:r w:rsidRPr="00F21A70">
        <w:rPr>
          <w:rFonts w:ascii="Arial" w:hAnsi="Arial" w:cs="Arial"/>
          <w:i/>
          <w:iCs/>
          <w:color w:val="000000"/>
          <w:sz w:val="18"/>
          <w:szCs w:val="22"/>
        </w:rPr>
        <w:t>Gestión Integral de Residuos Sólidos. Vol. I, México, 1998. Pp. 82,83.</w:t>
      </w:r>
    </w:p>
    <w:p w:rsidR="00F21A70" w:rsidRDefault="00F21A70" w:rsidP="00F21A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F21A70" w:rsidRDefault="00F21A70" w:rsidP="00F21A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D26ADF" w:rsidRDefault="00D26ADF" w:rsidP="00F21A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D26ADF" w:rsidRDefault="00D26ADF" w:rsidP="00F21A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D26ADF" w:rsidRDefault="00D26ADF" w:rsidP="00F21A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D26ADF" w:rsidRDefault="00D26ADF" w:rsidP="00F21A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710AE3" w:rsidRDefault="00710AE3" w:rsidP="00F21A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710AE3" w:rsidRDefault="00710AE3" w:rsidP="00F21A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144702" w:rsidRDefault="00144702" w:rsidP="00F21A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D26ADF" w:rsidRDefault="00D26ADF" w:rsidP="00F21A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D26ADF" w:rsidRDefault="00D26ADF" w:rsidP="00F21A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D26ADF" w:rsidRDefault="00D26ADF" w:rsidP="00F21A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D26ADF" w:rsidRPr="00F21A70" w:rsidRDefault="00D26ADF" w:rsidP="00F21A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F21A70" w:rsidRPr="00F21A70" w:rsidRDefault="00F21A70" w:rsidP="00F21A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21A70">
        <w:rPr>
          <w:rFonts w:ascii="Arial" w:hAnsi="Arial" w:cs="Arial"/>
          <w:b/>
          <w:color w:val="000000"/>
          <w:sz w:val="22"/>
          <w:szCs w:val="22"/>
        </w:rPr>
        <w:lastRenderedPageBreak/>
        <w:t>Ejemplo:</w:t>
      </w:r>
    </w:p>
    <w:p w:rsidR="00F21A70" w:rsidRDefault="00F21A70" w:rsidP="00F21A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21A70">
        <w:rPr>
          <w:rFonts w:ascii="Arial" w:hAnsi="Arial" w:cs="Arial"/>
          <w:color w:val="000000"/>
          <w:sz w:val="22"/>
          <w:szCs w:val="22"/>
        </w:rPr>
        <w:t>Para estimar el peso de un tambo de 200 litros lleno de papel, se siguen los siguientes pasos:</w:t>
      </w:r>
    </w:p>
    <w:p w:rsidR="00F21A70" w:rsidRDefault="00F21A70" w:rsidP="00F21A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F21A70" w:rsidRPr="00F21A70" w:rsidRDefault="00F21A70" w:rsidP="00F21A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21A70">
        <w:rPr>
          <w:rFonts w:ascii="Arial" w:hAnsi="Arial" w:cs="Arial"/>
          <w:color w:val="000000"/>
          <w:sz w:val="22"/>
          <w:szCs w:val="22"/>
        </w:rPr>
        <w:t xml:space="preserve">Volumen del tambo de 200 </w:t>
      </w:r>
      <w:proofErr w:type="spellStart"/>
      <w:r w:rsidRPr="00F21A70">
        <w:rPr>
          <w:rFonts w:ascii="Arial" w:hAnsi="Arial" w:cs="Arial"/>
          <w:color w:val="000000"/>
          <w:sz w:val="22"/>
          <w:szCs w:val="22"/>
        </w:rPr>
        <w:t>lt</w:t>
      </w:r>
      <w:proofErr w:type="spellEnd"/>
      <w:r w:rsidRPr="00F21A70">
        <w:rPr>
          <w:rFonts w:ascii="Arial" w:hAnsi="Arial" w:cs="Arial"/>
          <w:color w:val="000000"/>
          <w:sz w:val="22"/>
          <w:szCs w:val="22"/>
        </w:rPr>
        <w:t>,</w:t>
      </w:r>
    </w:p>
    <w:p w:rsidR="00F21A70" w:rsidRPr="00F21A70" w:rsidRDefault="00F21A70" w:rsidP="00F21A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21A70">
        <w:rPr>
          <w:rFonts w:ascii="Arial" w:hAnsi="Arial" w:cs="Arial"/>
          <w:color w:val="000000"/>
          <w:sz w:val="22"/>
          <w:szCs w:val="22"/>
        </w:rPr>
        <w:t xml:space="preserve">(200 </w:t>
      </w:r>
      <w:proofErr w:type="spellStart"/>
      <w:r w:rsidRPr="00F21A70">
        <w:rPr>
          <w:rFonts w:ascii="Arial" w:hAnsi="Arial" w:cs="Arial"/>
          <w:color w:val="000000"/>
          <w:sz w:val="22"/>
          <w:szCs w:val="22"/>
        </w:rPr>
        <w:t>lt</w:t>
      </w:r>
      <w:proofErr w:type="spellEnd"/>
      <w:r w:rsidRPr="00F21A70">
        <w:rPr>
          <w:rFonts w:ascii="Arial" w:hAnsi="Arial" w:cs="Arial"/>
          <w:color w:val="000000"/>
          <w:sz w:val="22"/>
          <w:szCs w:val="22"/>
        </w:rPr>
        <w:t xml:space="preserve">) / (1000 </w:t>
      </w:r>
      <w:proofErr w:type="spellStart"/>
      <w:r w:rsidRPr="00F21A70">
        <w:rPr>
          <w:rFonts w:ascii="Arial" w:hAnsi="Arial" w:cs="Arial"/>
          <w:color w:val="000000"/>
          <w:sz w:val="22"/>
          <w:szCs w:val="22"/>
        </w:rPr>
        <w:t>lt</w:t>
      </w:r>
      <w:proofErr w:type="spellEnd"/>
      <w:r w:rsidRPr="00F21A70">
        <w:rPr>
          <w:rFonts w:ascii="Arial" w:hAnsi="Arial" w:cs="Arial"/>
          <w:color w:val="000000"/>
          <w:sz w:val="22"/>
          <w:szCs w:val="22"/>
        </w:rPr>
        <w:t xml:space="preserve">/m </w:t>
      </w:r>
      <w:proofErr w:type="gramStart"/>
      <w:r w:rsidRPr="00F21A70">
        <w:rPr>
          <w:rFonts w:ascii="Arial" w:hAnsi="Arial" w:cs="Arial"/>
          <w:color w:val="000000"/>
          <w:sz w:val="22"/>
          <w:szCs w:val="22"/>
        </w:rPr>
        <w:t>3 )</w:t>
      </w:r>
      <w:proofErr w:type="gramEnd"/>
      <w:r w:rsidRPr="00F21A70">
        <w:rPr>
          <w:rFonts w:ascii="Arial" w:hAnsi="Arial" w:cs="Arial"/>
          <w:color w:val="000000"/>
          <w:sz w:val="22"/>
          <w:szCs w:val="22"/>
        </w:rPr>
        <w:t xml:space="preserve"> = 0.2 m 3</w:t>
      </w:r>
    </w:p>
    <w:p w:rsidR="00F21A70" w:rsidRPr="00F21A70" w:rsidRDefault="00F21A70" w:rsidP="00F21A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21A70">
        <w:rPr>
          <w:rFonts w:ascii="Arial" w:hAnsi="Arial" w:cs="Arial"/>
          <w:color w:val="000000"/>
          <w:sz w:val="22"/>
          <w:szCs w:val="22"/>
        </w:rPr>
        <w:t xml:space="preserve">Peso específico del papel de la tabla anterior; 89 kg/m </w:t>
      </w:r>
      <w:r w:rsidR="00B3284A" w:rsidRPr="00F21A70">
        <w:rPr>
          <w:rFonts w:ascii="Arial" w:hAnsi="Arial" w:cs="Arial"/>
          <w:color w:val="000000"/>
          <w:sz w:val="22"/>
          <w:szCs w:val="22"/>
        </w:rPr>
        <w:t>3.</w:t>
      </w:r>
    </w:p>
    <w:p w:rsidR="00F21A70" w:rsidRPr="00F21A70" w:rsidRDefault="00F21A70" w:rsidP="00F21A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21A70">
        <w:rPr>
          <w:rFonts w:ascii="Arial" w:hAnsi="Arial" w:cs="Arial"/>
          <w:color w:val="000000"/>
          <w:sz w:val="22"/>
          <w:szCs w:val="22"/>
        </w:rPr>
        <w:t>Se multiplica el volumen y el peso específico del papel y se obtiene el peso de papel.</w:t>
      </w:r>
    </w:p>
    <w:p w:rsidR="00F21A70" w:rsidRDefault="00F21A70" w:rsidP="00F21A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21A70">
        <w:rPr>
          <w:rFonts w:ascii="Arial" w:hAnsi="Arial" w:cs="Arial"/>
          <w:color w:val="000000"/>
          <w:sz w:val="22"/>
          <w:szCs w:val="22"/>
        </w:rPr>
        <w:t xml:space="preserve">(0.2 m </w:t>
      </w:r>
      <w:proofErr w:type="gramStart"/>
      <w:r w:rsidRPr="00F21A70">
        <w:rPr>
          <w:rFonts w:ascii="Arial" w:hAnsi="Arial" w:cs="Arial"/>
          <w:color w:val="000000"/>
          <w:sz w:val="22"/>
          <w:szCs w:val="22"/>
        </w:rPr>
        <w:t>3 )</w:t>
      </w:r>
      <w:proofErr w:type="gramEnd"/>
      <w:r w:rsidRPr="00F21A70">
        <w:rPr>
          <w:rFonts w:ascii="Arial" w:hAnsi="Arial" w:cs="Arial"/>
          <w:color w:val="000000"/>
          <w:sz w:val="22"/>
          <w:szCs w:val="22"/>
        </w:rPr>
        <w:t xml:space="preserve"> X (89 kg/m </w:t>
      </w:r>
      <w:proofErr w:type="gramStart"/>
      <w:r w:rsidRPr="00F21A70">
        <w:rPr>
          <w:rFonts w:ascii="Arial" w:hAnsi="Arial" w:cs="Arial"/>
          <w:color w:val="000000"/>
          <w:sz w:val="22"/>
          <w:szCs w:val="22"/>
        </w:rPr>
        <w:t>3 )</w:t>
      </w:r>
      <w:proofErr w:type="gramEnd"/>
      <w:r w:rsidRPr="00F21A70">
        <w:rPr>
          <w:rFonts w:ascii="Arial" w:hAnsi="Arial" w:cs="Arial"/>
          <w:color w:val="000000"/>
          <w:sz w:val="22"/>
          <w:szCs w:val="22"/>
        </w:rPr>
        <w:t xml:space="preserve"> = 17.8 Kg</w:t>
      </w:r>
    </w:p>
    <w:p w:rsidR="00F21A70" w:rsidRPr="00F21A70" w:rsidRDefault="00AF6C62" w:rsidP="00AF6C62">
      <w:pPr>
        <w:tabs>
          <w:tab w:val="left" w:pos="365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:rsidR="00F21A70" w:rsidRDefault="00F21A70" w:rsidP="00F21A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21A70">
        <w:rPr>
          <w:rFonts w:ascii="Arial" w:hAnsi="Arial" w:cs="Arial"/>
          <w:color w:val="000000"/>
          <w:sz w:val="22"/>
          <w:szCs w:val="22"/>
        </w:rPr>
        <w:t>El peso estimado sería entonces por cada tambo lleno de papel de 17.8 Kg, aproximadamente.</w:t>
      </w:r>
    </w:p>
    <w:p w:rsidR="00F21A70" w:rsidRPr="00F21A70" w:rsidRDefault="00F21A70" w:rsidP="00F21A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F21A70" w:rsidRPr="00F21A70" w:rsidRDefault="00F21A70" w:rsidP="00F21A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A1A1A"/>
          <w:sz w:val="22"/>
          <w:szCs w:val="22"/>
        </w:rPr>
      </w:pPr>
      <w:r w:rsidRPr="00F21A70">
        <w:rPr>
          <w:rFonts w:ascii="Arial" w:hAnsi="Arial" w:cs="Arial"/>
          <w:color w:val="1A1A1A"/>
          <w:sz w:val="22"/>
          <w:szCs w:val="22"/>
        </w:rPr>
        <w:t>Una vez que se tienen los valores para las distintas fracciones, se puede extrapolar el dato para el</w:t>
      </w:r>
      <w:r>
        <w:rPr>
          <w:rFonts w:ascii="Arial" w:hAnsi="Arial" w:cs="Arial"/>
          <w:color w:val="1A1A1A"/>
          <w:sz w:val="22"/>
          <w:szCs w:val="22"/>
        </w:rPr>
        <w:t xml:space="preserve"> </w:t>
      </w:r>
      <w:r w:rsidRPr="00F21A70">
        <w:rPr>
          <w:rFonts w:ascii="Arial" w:hAnsi="Arial" w:cs="Arial"/>
          <w:color w:val="1A1A1A"/>
          <w:sz w:val="22"/>
          <w:szCs w:val="22"/>
        </w:rPr>
        <w:t>resto de las áreas del plantel en las cuales no se hizo el acopio separado, a fin de tener una</w:t>
      </w:r>
      <w:r>
        <w:rPr>
          <w:rFonts w:ascii="Arial" w:hAnsi="Arial" w:cs="Arial"/>
          <w:color w:val="1A1A1A"/>
          <w:sz w:val="22"/>
          <w:szCs w:val="22"/>
        </w:rPr>
        <w:t xml:space="preserve"> </w:t>
      </w:r>
      <w:r w:rsidRPr="00F21A70">
        <w:rPr>
          <w:rFonts w:ascii="Arial" w:hAnsi="Arial" w:cs="Arial"/>
          <w:color w:val="1A1A1A"/>
          <w:sz w:val="22"/>
          <w:szCs w:val="22"/>
        </w:rPr>
        <w:t>estimación global.</w:t>
      </w:r>
    </w:p>
    <w:p w:rsidR="00144702" w:rsidRDefault="00144702" w:rsidP="00F21A70">
      <w:pPr>
        <w:jc w:val="both"/>
        <w:rPr>
          <w:rFonts w:ascii="Arial" w:hAnsi="Arial" w:cs="Arial"/>
          <w:sz w:val="22"/>
          <w:szCs w:val="22"/>
        </w:rPr>
      </w:pPr>
    </w:p>
    <w:p w:rsidR="00144702" w:rsidRDefault="00144702" w:rsidP="00144702">
      <w:pPr>
        <w:rPr>
          <w:rFonts w:ascii="Arial" w:hAnsi="Arial" w:cs="Arial"/>
          <w:sz w:val="22"/>
          <w:szCs w:val="22"/>
        </w:rPr>
      </w:pPr>
    </w:p>
    <w:p w:rsidR="002A0D82" w:rsidRPr="00144702" w:rsidRDefault="00144702" w:rsidP="00144702">
      <w:pPr>
        <w:tabs>
          <w:tab w:val="left" w:pos="167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2A0D82" w:rsidRPr="00144702" w:rsidSect="00EC2E03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8D6" w:rsidRDefault="000378D6" w:rsidP="00D27620">
      <w:pPr>
        <w:spacing w:after="0" w:line="240" w:lineRule="auto"/>
      </w:pPr>
      <w:r>
        <w:separator/>
      </w:r>
    </w:p>
  </w:endnote>
  <w:endnote w:type="continuationSeparator" w:id="0">
    <w:p w:rsidR="000378D6" w:rsidRDefault="000378D6" w:rsidP="00D27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Identity-H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620" w:rsidRPr="00D26ADF" w:rsidRDefault="00D26ADF" w:rsidP="00D51327">
    <w:pPr>
      <w:pStyle w:val="Piedepgina"/>
      <w:tabs>
        <w:tab w:val="clear" w:pos="8838"/>
        <w:tab w:val="right" w:pos="8364"/>
      </w:tabs>
      <w:ind w:left="-142" w:right="282"/>
      <w:jc w:val="center"/>
      <w:rPr>
        <w:b/>
      </w:rPr>
    </w:pPr>
    <w:r>
      <w:rPr>
        <w:rFonts w:ascii="Arial" w:hAnsi="Arial" w:cs="Arial"/>
        <w:b/>
        <w:bCs/>
        <w:sz w:val="22"/>
        <w:szCs w:val="22"/>
        <w:lang w:val="pt-BR"/>
      </w:rPr>
      <w:t>ITC-GA-PO-007-01</w:t>
    </w:r>
    <w:r w:rsidR="00144702">
      <w:rPr>
        <w:rFonts w:ascii="Arial" w:hAnsi="Arial" w:cs="Arial"/>
        <w:b/>
        <w:bCs/>
        <w:sz w:val="22"/>
        <w:szCs w:val="22"/>
        <w:lang w:val="pt-BR"/>
      </w:rPr>
      <w:tab/>
      <w:t xml:space="preserve">                                         </w:t>
    </w:r>
    <w:r w:rsidR="00144702">
      <w:rPr>
        <w:rFonts w:ascii="Arial" w:hAnsi="Arial" w:cs="Arial"/>
        <w:b/>
        <w:bCs/>
        <w:sz w:val="22"/>
        <w:szCs w:val="22"/>
        <w:lang w:val="pt-BR"/>
      </w:rPr>
      <w:tab/>
      <w:t xml:space="preserve"> Rev. 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8D6" w:rsidRDefault="000378D6" w:rsidP="00D27620">
      <w:pPr>
        <w:spacing w:after="0" w:line="240" w:lineRule="auto"/>
      </w:pPr>
      <w:r>
        <w:separator/>
      </w:r>
    </w:p>
  </w:footnote>
  <w:footnote w:type="continuationSeparator" w:id="0">
    <w:p w:rsidR="000378D6" w:rsidRDefault="000378D6" w:rsidP="00D27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000"/>
    </w:tblPr>
    <w:tblGrid>
      <w:gridCol w:w="2267"/>
      <w:gridCol w:w="4680"/>
      <w:gridCol w:w="2692"/>
    </w:tblGrid>
    <w:tr w:rsidR="00D26ADF" w:rsidRPr="005571C1" w:rsidTr="00EC2E03">
      <w:trPr>
        <w:cantSplit/>
        <w:trHeight w:val="275"/>
        <w:jc w:val="center"/>
      </w:trPr>
      <w:tc>
        <w:tcPr>
          <w:tcW w:w="2267" w:type="dxa"/>
          <w:vMerge w:val="restart"/>
          <w:vAlign w:val="center"/>
        </w:tcPr>
        <w:p w:rsidR="00D26ADF" w:rsidRPr="001C348E" w:rsidRDefault="00B3284A" w:rsidP="00B3284A">
          <w:pPr>
            <w:ind w:right="-70"/>
            <w:jc w:val="center"/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-17780</wp:posOffset>
                </wp:positionV>
                <wp:extent cx="1299210" cy="861060"/>
                <wp:effectExtent l="19050" t="0" r="0" b="0"/>
                <wp:wrapNone/>
                <wp:docPr id="3" name="Imagen 4" descr="LOGO SIG 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LOGO SIG 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9210" cy="861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80" w:type="dxa"/>
          <w:vMerge w:val="restart"/>
          <w:vAlign w:val="center"/>
        </w:tcPr>
        <w:p w:rsidR="00D26ADF" w:rsidRPr="00EC2E03" w:rsidRDefault="00D26ADF" w:rsidP="00EC2E03">
          <w:pPr>
            <w:pStyle w:val="Piedepgina"/>
            <w:rPr>
              <w:rFonts w:ascii="Arial" w:hAnsi="Arial" w:cs="Arial"/>
              <w:b/>
              <w:bCs/>
            </w:rPr>
          </w:pPr>
          <w:r w:rsidRPr="00EC2E03">
            <w:rPr>
              <w:rFonts w:ascii="Arial" w:hAnsi="Arial" w:cs="Arial"/>
              <w:b/>
              <w:bCs/>
            </w:rPr>
            <w:t>Nombre del documento: Cuantificación Volumétrica de basura</w:t>
          </w:r>
        </w:p>
      </w:tc>
      <w:tc>
        <w:tcPr>
          <w:tcW w:w="2692" w:type="dxa"/>
          <w:vAlign w:val="center"/>
        </w:tcPr>
        <w:p w:rsidR="00D26ADF" w:rsidRPr="00EC2E03" w:rsidRDefault="00D26ADF" w:rsidP="00EC2E03">
          <w:pPr>
            <w:pStyle w:val="Piedepgina"/>
            <w:rPr>
              <w:rFonts w:ascii="Arial" w:hAnsi="Arial" w:cs="Arial"/>
              <w:b/>
              <w:bCs/>
              <w:lang w:val="pt-BR"/>
            </w:rPr>
          </w:pPr>
          <w:r w:rsidRPr="00EC2E03">
            <w:rPr>
              <w:rFonts w:ascii="Arial" w:hAnsi="Arial" w:cs="Arial"/>
              <w:b/>
              <w:bCs/>
              <w:sz w:val="19"/>
              <w:szCs w:val="19"/>
              <w:lang w:val="pt-BR"/>
            </w:rPr>
            <w:t>Código:</w:t>
          </w:r>
          <w:r w:rsidRPr="00EC2E03">
            <w:rPr>
              <w:rFonts w:ascii="Arial" w:hAnsi="Arial" w:cs="Arial"/>
              <w:b/>
              <w:bCs/>
              <w:lang w:val="pt-BR"/>
            </w:rPr>
            <w:t xml:space="preserve"> </w:t>
          </w:r>
          <w:bookmarkStart w:id="0" w:name="_GoBack"/>
          <w:r w:rsidRPr="00EC2E03">
            <w:rPr>
              <w:rFonts w:ascii="Arial" w:hAnsi="Arial" w:cs="Arial"/>
              <w:b/>
              <w:bCs/>
              <w:sz w:val="19"/>
              <w:szCs w:val="19"/>
              <w:lang w:val="pt-BR"/>
            </w:rPr>
            <w:t>ITC-GA-PO-007-01</w:t>
          </w:r>
          <w:bookmarkEnd w:id="0"/>
        </w:p>
      </w:tc>
    </w:tr>
    <w:tr w:rsidR="00D26ADF" w:rsidRPr="001C348E" w:rsidTr="00EC2E03">
      <w:trPr>
        <w:cantSplit/>
        <w:trHeight w:val="124"/>
        <w:jc w:val="center"/>
      </w:trPr>
      <w:tc>
        <w:tcPr>
          <w:tcW w:w="2267" w:type="dxa"/>
          <w:vMerge/>
        </w:tcPr>
        <w:p w:rsidR="00D26ADF" w:rsidRPr="005571C1" w:rsidRDefault="00D26ADF" w:rsidP="001338A4">
          <w:pPr>
            <w:pStyle w:val="Encabezado"/>
            <w:rPr>
              <w:lang w:val="pt-BR"/>
            </w:rPr>
          </w:pPr>
        </w:p>
      </w:tc>
      <w:tc>
        <w:tcPr>
          <w:tcW w:w="4680" w:type="dxa"/>
          <w:vMerge/>
          <w:vAlign w:val="center"/>
        </w:tcPr>
        <w:p w:rsidR="00D26ADF" w:rsidRPr="00EC2E03" w:rsidRDefault="00D26ADF" w:rsidP="00EC2E03">
          <w:pPr>
            <w:spacing w:after="0"/>
            <w:rPr>
              <w:rFonts w:ascii="Arial" w:hAnsi="Arial" w:cs="Arial"/>
              <w:lang w:val="pt-BR"/>
            </w:rPr>
          </w:pPr>
        </w:p>
      </w:tc>
      <w:tc>
        <w:tcPr>
          <w:tcW w:w="2692" w:type="dxa"/>
          <w:vAlign w:val="center"/>
        </w:tcPr>
        <w:p w:rsidR="00D26ADF" w:rsidRPr="00EC2E03" w:rsidRDefault="00D26ADF" w:rsidP="00EC2E03">
          <w:pPr>
            <w:spacing w:after="0"/>
            <w:rPr>
              <w:rFonts w:ascii="Arial" w:hAnsi="Arial" w:cs="Arial"/>
              <w:b/>
              <w:bCs/>
            </w:rPr>
          </w:pPr>
          <w:r w:rsidRPr="00EC2E03">
            <w:rPr>
              <w:rFonts w:ascii="Arial" w:hAnsi="Arial" w:cs="Arial"/>
              <w:b/>
              <w:bCs/>
            </w:rPr>
            <w:t xml:space="preserve">Revisión: </w:t>
          </w:r>
          <w:r w:rsidRPr="00EC2E03">
            <w:rPr>
              <w:rFonts w:ascii="Arial" w:hAnsi="Arial" w:cs="Arial"/>
              <w:b/>
              <w:bCs/>
              <w:lang w:val="es-MX"/>
            </w:rPr>
            <w:t>0</w:t>
          </w:r>
        </w:p>
      </w:tc>
    </w:tr>
    <w:tr w:rsidR="00D26ADF" w:rsidRPr="001C348E" w:rsidTr="00EC2E03">
      <w:trPr>
        <w:cantSplit/>
        <w:trHeight w:val="783"/>
        <w:jc w:val="center"/>
      </w:trPr>
      <w:tc>
        <w:tcPr>
          <w:tcW w:w="2267" w:type="dxa"/>
          <w:vMerge/>
        </w:tcPr>
        <w:p w:rsidR="00D26ADF" w:rsidRPr="001C348E" w:rsidRDefault="00D26ADF" w:rsidP="001338A4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4680" w:type="dxa"/>
          <w:vAlign w:val="center"/>
        </w:tcPr>
        <w:p w:rsidR="00D26ADF" w:rsidRPr="00EC2E03" w:rsidRDefault="00D26ADF" w:rsidP="00EC2E03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  <w:b/>
              <w:bCs/>
            </w:rPr>
          </w:pPr>
          <w:r w:rsidRPr="00EC2E03">
            <w:rPr>
              <w:rFonts w:ascii="Arial" w:hAnsi="Arial" w:cs="Arial"/>
              <w:b/>
              <w:bCs/>
            </w:rPr>
            <w:t xml:space="preserve">Referencia a la Norma ISO  14001:2004 </w:t>
          </w:r>
        </w:p>
        <w:p w:rsidR="00D26ADF" w:rsidRPr="00EC2E03" w:rsidRDefault="00D26ADF" w:rsidP="00EC2E03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  <w:b/>
              <w:bCs/>
            </w:rPr>
          </w:pPr>
          <w:r w:rsidRPr="00EC2E03">
            <w:rPr>
              <w:rFonts w:ascii="Arial" w:hAnsi="Arial" w:cs="Arial"/>
              <w:b/>
              <w:bCs/>
            </w:rPr>
            <w:t>4.4.6</w:t>
          </w:r>
        </w:p>
      </w:tc>
      <w:tc>
        <w:tcPr>
          <w:tcW w:w="2692" w:type="dxa"/>
          <w:vAlign w:val="center"/>
        </w:tcPr>
        <w:p w:rsidR="00D26ADF" w:rsidRPr="00EC2E03" w:rsidRDefault="00D26ADF" w:rsidP="00EC2E03">
          <w:pPr>
            <w:spacing w:after="0"/>
            <w:rPr>
              <w:rFonts w:ascii="Arial" w:hAnsi="Arial" w:cs="Arial"/>
              <w:b/>
              <w:bCs/>
            </w:rPr>
          </w:pPr>
          <w:r w:rsidRPr="00EC2E03">
            <w:rPr>
              <w:rFonts w:ascii="Arial" w:hAnsi="Arial" w:cs="Arial"/>
              <w:b/>
              <w:bCs/>
            </w:rPr>
            <w:t xml:space="preserve">Página </w:t>
          </w:r>
          <w:r w:rsidR="0045155A" w:rsidRPr="00EC2E03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EC2E03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instrText xml:space="preserve"> PAGE </w:instrText>
          </w:r>
          <w:r w:rsidR="0045155A" w:rsidRPr="00EC2E03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D51327">
            <w:rPr>
              <w:rStyle w:val="Nmerodepgina"/>
              <w:rFonts w:ascii="Arial" w:hAnsi="Arial" w:cs="Arial"/>
              <w:b/>
              <w:bCs/>
              <w:noProof/>
              <w:sz w:val="20"/>
              <w:szCs w:val="20"/>
            </w:rPr>
            <w:t>2</w:t>
          </w:r>
          <w:r w:rsidR="0045155A" w:rsidRPr="00EC2E03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EC2E03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t xml:space="preserve"> de </w:t>
          </w:r>
          <w:r w:rsidR="0045155A" w:rsidRPr="00EC2E03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EC2E03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instrText xml:space="preserve"> NUMPAGES </w:instrText>
          </w:r>
          <w:r w:rsidR="0045155A" w:rsidRPr="00EC2E03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D51327">
            <w:rPr>
              <w:rStyle w:val="Nmerodepgina"/>
              <w:rFonts w:ascii="Arial" w:hAnsi="Arial" w:cs="Arial"/>
              <w:b/>
              <w:bCs/>
              <w:noProof/>
              <w:sz w:val="20"/>
              <w:szCs w:val="20"/>
            </w:rPr>
            <w:t>2</w:t>
          </w:r>
          <w:r w:rsidR="0045155A" w:rsidRPr="00EC2E03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w:rsidR="00D27620" w:rsidRDefault="00D27620" w:rsidP="00D27620">
    <w:pPr>
      <w:pStyle w:val="Encabezado"/>
      <w:rPr>
        <w:rFonts w:ascii="Tahoma" w:hAnsi="Tahoma" w:cs="Tahoma"/>
        <w:b/>
        <w:sz w:val="22"/>
        <w:szCs w:val="22"/>
      </w:rPr>
    </w:pPr>
    <w:r w:rsidRPr="00D27620">
      <w:rPr>
        <w:rFonts w:ascii="Tahoma" w:hAnsi="Tahoma" w:cs="Tahoma"/>
        <w:b/>
        <w:noProof/>
        <w:sz w:val="22"/>
        <w:szCs w:val="22"/>
        <w:lang w:val="es-MX"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7587615</wp:posOffset>
          </wp:positionH>
          <wp:positionV relativeFrom="paragraph">
            <wp:posOffset>-230505</wp:posOffset>
          </wp:positionV>
          <wp:extent cx="676275" cy="800100"/>
          <wp:effectExtent l="19050" t="0" r="9525" b="0"/>
          <wp:wrapNone/>
          <wp:docPr id="21" name="Imagen 1" descr="Logo simple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simple Azul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02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7767955</wp:posOffset>
          </wp:positionH>
          <wp:positionV relativeFrom="paragraph">
            <wp:posOffset>-230505</wp:posOffset>
          </wp:positionV>
          <wp:extent cx="676275" cy="802935"/>
          <wp:effectExtent l="19050" t="0" r="9525" b="0"/>
          <wp:wrapNone/>
          <wp:docPr id="18" name="Imagen 1" descr="Logo simple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simple Azul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02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sz w:val="22"/>
        <w:szCs w:val="22"/>
      </w:rPr>
      <w:t xml:space="preserve">                                                                   </w:t>
    </w:r>
  </w:p>
  <w:p w:rsidR="00D27620" w:rsidRDefault="0045155A">
    <w:pPr>
      <w:pStyle w:val="Encabezado"/>
    </w:pPr>
    <w:r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7" type="#_x0000_t202" style="position:absolute;margin-left:-33.85pt;margin-top:79.35pt;width:473.75pt;height:452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NSAtwIAALo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" filled="f" stroked="f">
          <v:textbox>
            <w:txbxContent>
              <w:p w:rsidR="003B75F6" w:rsidRDefault="003B75F6" w:rsidP="003B75F6">
                <w:pPr>
                  <w:jc w:val="center"/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49E3"/>
    <w:multiLevelType w:val="hybridMultilevel"/>
    <w:tmpl w:val="94B6B8D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ED554E"/>
    <w:multiLevelType w:val="hybridMultilevel"/>
    <w:tmpl w:val="B38C96EE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77517AD"/>
    <w:multiLevelType w:val="hybridMultilevel"/>
    <w:tmpl w:val="83CCD3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D1E5B"/>
    <w:rsid w:val="000378D6"/>
    <w:rsid w:val="00144702"/>
    <w:rsid w:val="00175814"/>
    <w:rsid w:val="002A0D82"/>
    <w:rsid w:val="00321CBC"/>
    <w:rsid w:val="0032437B"/>
    <w:rsid w:val="003B75F6"/>
    <w:rsid w:val="0045155A"/>
    <w:rsid w:val="004D1B70"/>
    <w:rsid w:val="005711F2"/>
    <w:rsid w:val="005823AD"/>
    <w:rsid w:val="005941E8"/>
    <w:rsid w:val="00710AE3"/>
    <w:rsid w:val="008203C7"/>
    <w:rsid w:val="00870F3F"/>
    <w:rsid w:val="009F4A3F"/>
    <w:rsid w:val="00AF6C62"/>
    <w:rsid w:val="00B3284A"/>
    <w:rsid w:val="00C51201"/>
    <w:rsid w:val="00C5358E"/>
    <w:rsid w:val="00D26ADF"/>
    <w:rsid w:val="00D27620"/>
    <w:rsid w:val="00D51327"/>
    <w:rsid w:val="00D747EC"/>
    <w:rsid w:val="00DD769D"/>
    <w:rsid w:val="00E46528"/>
    <w:rsid w:val="00E52C4C"/>
    <w:rsid w:val="00EC2E03"/>
    <w:rsid w:val="00ED1E5B"/>
    <w:rsid w:val="00F21A70"/>
    <w:rsid w:val="00FE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E5B"/>
    <w:rPr>
      <w:rFonts w:eastAsiaTheme="minorEastAsia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ED1E5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unhideWhenUsed/>
    <w:qFormat/>
    <w:rsid w:val="00ED1E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27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7620"/>
    <w:rPr>
      <w:rFonts w:eastAsiaTheme="minorEastAsia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D27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7620"/>
    <w:rPr>
      <w:rFonts w:eastAsiaTheme="minorEastAsia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75F6"/>
    <w:rPr>
      <w:rFonts w:ascii="Tahoma" w:eastAsiaTheme="minorEastAsia" w:hAnsi="Tahoma" w:cs="Tahoma"/>
      <w:sz w:val="16"/>
      <w:szCs w:val="16"/>
    </w:rPr>
  </w:style>
  <w:style w:type="character" w:styleId="Nmerodepgina">
    <w:name w:val="page number"/>
    <w:basedOn w:val="Fuentedeprrafopredeter"/>
    <w:uiPriority w:val="99"/>
    <w:rsid w:val="00D26ADF"/>
    <w:rPr>
      <w:rFonts w:ascii="Times New Roman" w:hAnsi="Times New Roman" w:cs="Times New Roman"/>
      <w:color w:val="auto"/>
      <w:spacing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E5B"/>
    <w:rPr>
      <w:rFonts w:eastAsiaTheme="minorEastAsia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ED1E5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unhideWhenUsed/>
    <w:qFormat/>
    <w:rsid w:val="00ED1E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27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7620"/>
    <w:rPr>
      <w:rFonts w:eastAsiaTheme="minorEastAsia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D27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7620"/>
    <w:rPr>
      <w:rFonts w:eastAsiaTheme="minorEastAsia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75F6"/>
    <w:rPr>
      <w:rFonts w:ascii="Tahoma" w:eastAsiaTheme="minorEastAsia" w:hAnsi="Tahoma" w:cs="Tahoma"/>
      <w:sz w:val="16"/>
      <w:szCs w:val="16"/>
    </w:rPr>
  </w:style>
  <w:style w:type="character" w:styleId="Nmerodepgina">
    <w:name w:val="page number"/>
    <w:basedOn w:val="Fuentedeprrafopredeter"/>
    <w:uiPriority w:val="99"/>
    <w:rsid w:val="00D26ADF"/>
    <w:rPr>
      <w:rFonts w:ascii="Times New Roman" w:hAnsi="Times New Roman" w:cs="Times New Roman"/>
      <w:color w:val="auto"/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D844E-C790-4769-B3D0-9321ADDC4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Leobardo Cortés Benítez</cp:lastModifiedBy>
  <cp:revision>5</cp:revision>
  <cp:lastPrinted>2013-04-26T20:12:00Z</cp:lastPrinted>
  <dcterms:created xsi:type="dcterms:W3CDTF">2013-04-26T20:13:00Z</dcterms:created>
  <dcterms:modified xsi:type="dcterms:W3CDTF">2013-06-22T21:44:00Z</dcterms:modified>
</cp:coreProperties>
</file>